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OPEN SCIENCE| Aperta la seconda call Transnational e National Access (TNA/NOA) per l’accesso gratuito alla rete di laboratori ILGE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hd w:fill="ffffff" w:val="clear"/>
        <w:spacing w:line="3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C’è tempo fino al 31 gennaio 2025 per partecipare alla seconda call del Programma ILGE TNA/NOA che </w:t>
      </w:r>
      <w:r w:rsidDel="00000000" w:rsidR="00000000" w:rsidRPr="00000000">
        <w:rPr>
          <w:rFonts w:ascii="Times New Roman" w:cs="Times New Roman" w:eastAsia="Times New Roman" w:hAnsi="Times New Roman"/>
          <w:b w:val="1"/>
          <w:sz w:val="24"/>
          <w:szCs w:val="24"/>
          <w:rtl w:val="0"/>
        </w:rPr>
        <w:t xml:space="preserve">offre accesso gratuito fisico o da remoto a più di quaranta laboratori italiani all'avanguardia nello studio delle Scienze della Terra, </w:t>
      </w:r>
      <w:r w:rsidDel="00000000" w:rsidR="00000000" w:rsidRPr="00000000">
        <w:rPr>
          <w:rFonts w:ascii="Times New Roman" w:cs="Times New Roman" w:eastAsia="Times New Roman" w:hAnsi="Times New Roman"/>
          <w:sz w:val="24"/>
          <w:szCs w:val="24"/>
          <w:rtl w:val="0"/>
        </w:rPr>
        <w:t xml:space="preserve">distribuiti nei quattro maggiori enti di ricerca del settore e riuniti nel network ILGE (Integrated Laboratories for Geosciences and Environment). Il programma consente a studenti, ricercatrici e professori di ricevere </w:t>
      </w:r>
      <w:r w:rsidDel="00000000" w:rsidR="00000000" w:rsidRPr="00000000">
        <w:rPr>
          <w:rFonts w:ascii="Times New Roman" w:cs="Times New Roman" w:eastAsia="Times New Roman" w:hAnsi="Times New Roman"/>
          <w:b w:val="1"/>
          <w:sz w:val="24"/>
          <w:szCs w:val="24"/>
          <w:rtl w:val="0"/>
        </w:rPr>
        <w:t xml:space="preserve">supporto scientifico, finanziario e logistico per svolgere i propri esperimenti </w:t>
      </w:r>
      <w:r w:rsidDel="00000000" w:rsidR="00000000" w:rsidRPr="00000000">
        <w:rPr>
          <w:rFonts w:ascii="Times New Roman" w:cs="Times New Roman" w:eastAsia="Times New Roman" w:hAnsi="Times New Roman"/>
          <w:sz w:val="24"/>
          <w:szCs w:val="24"/>
          <w:rtl w:val="0"/>
        </w:rPr>
        <w:t xml:space="preserve">ovvero avere a disposizione un catalogo vasto di strumenti innovativi, il supporto del personale tecnico e scientifico per il loro utilizzo e  la possibilità di creare collaborazioni scientifiche multidisciplinari attorno al proprio tema di ricerca.  </w:t>
      </w:r>
    </w:p>
    <w:p w:rsidR="00000000" w:rsidDel="00000000" w:rsidP="00000000" w:rsidRDefault="00000000" w:rsidRPr="00000000" w14:paraId="00000004">
      <w:pPr>
        <w:shd w:fill="ffffff" w:val="clear"/>
        <w:spacing w:line="3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hd w:fill="ffffff" w:val="clear"/>
        <w:spacing w:line="331.2"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 RETE DI LABORATORI ILGE</w:t>
      </w:r>
    </w:p>
    <w:p w:rsidR="00000000" w:rsidDel="00000000" w:rsidP="00000000" w:rsidRDefault="00000000" w:rsidRPr="00000000" w14:paraId="00000006">
      <w:pPr>
        <w:shd w:fill="ffffff" w:val="clear"/>
        <w:spacing w:line="331.2"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hd w:fill="ffffff" w:val="clear"/>
        <w:spacing w:line="3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network</w:t>
      </w:r>
      <w:hyperlink r:id="rId6">
        <w:r w:rsidDel="00000000" w:rsidR="00000000" w:rsidRPr="00000000">
          <w:rPr>
            <w:rFonts w:ascii="Times New Roman" w:cs="Times New Roman" w:eastAsia="Times New Roman" w:hAnsi="Times New Roman"/>
            <w:color w:val="1155cc"/>
            <w:sz w:val="24"/>
            <w:szCs w:val="24"/>
            <w:u w:val="single"/>
            <w:rtl w:val="0"/>
          </w:rPr>
          <w:t xml:space="preserve"> ILGE</w:t>
        </w:r>
      </w:hyperlink>
      <w:r w:rsidDel="00000000" w:rsidR="00000000" w:rsidRPr="00000000">
        <w:rPr>
          <w:rFonts w:ascii="Times New Roman" w:cs="Times New Roman" w:eastAsia="Times New Roman" w:hAnsi="Times New Roman"/>
          <w:sz w:val="24"/>
          <w:szCs w:val="24"/>
          <w:rtl w:val="0"/>
        </w:rPr>
        <w:t xml:space="preserve"> è parte del progetto</w:t>
      </w:r>
      <w:hyperlink r:id="rId7">
        <w:r w:rsidDel="00000000" w:rsidR="00000000" w:rsidRPr="00000000">
          <w:rPr>
            <w:rFonts w:ascii="Times New Roman" w:cs="Times New Roman" w:eastAsia="Times New Roman" w:hAnsi="Times New Roman"/>
            <w:sz w:val="24"/>
            <w:szCs w:val="24"/>
            <w:rtl w:val="0"/>
          </w:rPr>
          <w:t xml:space="preserve"> </w:t>
        </w:r>
      </w:hyperlink>
      <w:hyperlink r:id="rId8">
        <w:r w:rsidDel="00000000" w:rsidR="00000000" w:rsidRPr="00000000">
          <w:rPr>
            <w:rFonts w:ascii="Times New Roman" w:cs="Times New Roman" w:eastAsia="Times New Roman" w:hAnsi="Times New Roman"/>
            <w:color w:val="1155cc"/>
            <w:sz w:val="24"/>
            <w:szCs w:val="24"/>
            <w:u w:val="single"/>
            <w:rtl w:val="0"/>
          </w:rPr>
          <w:t xml:space="preserve">MEET</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La rete di infrastrutture coinvolge quattro importanti istituzioni italiane: l’Istituto Nazionale di Geofisica e Vulcanologia (INGV), l’Università “Roma Tre” (UniRomaTre), il Consiglio Nazionale delle Ricerche (CNR) e l’Istituto Nazionale di Oceanografia e di Geofisica Sperimentale (OGS), integrando diverse discipline delle scienze della Terra,</w:t>
      </w:r>
      <w:r w:rsidDel="00000000" w:rsidR="00000000" w:rsidRPr="00000000">
        <w:rPr>
          <w:rFonts w:ascii="Times New Roman" w:cs="Times New Roman" w:eastAsia="Times New Roman" w:hAnsi="Times New Roman"/>
          <w:sz w:val="24"/>
          <w:szCs w:val="24"/>
          <w:rtl w:val="0"/>
        </w:rPr>
        <w:t xml:space="preserve"> tra cui la modellazione analogica, la vulcanologia sperimentale, la geofisica, la tettonica, il paleomagnetismo, la geochimica, la microscopia, la sedimentologia e le indagini sugli effetti di sito.</w:t>
      </w:r>
    </w:p>
    <w:p w:rsidR="00000000" w:rsidDel="00000000" w:rsidP="00000000" w:rsidRDefault="00000000" w:rsidRPr="00000000" w14:paraId="00000008">
      <w:pPr>
        <w:shd w:fill="ffffff" w:val="clear"/>
        <w:spacing w:line="3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shd w:fill="ffffff" w:val="clear"/>
        <w:spacing w:line="331.2"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PARTECIPA ALLA CALL</w:t>
      </w:r>
    </w:p>
    <w:p w:rsidR="00000000" w:rsidDel="00000000" w:rsidP="00000000" w:rsidRDefault="00000000" w:rsidRPr="00000000" w14:paraId="0000000A">
      <w:pPr>
        <w:shd w:fill="ffffff" w:val="clear"/>
        <w:spacing w:line="331.2"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hd w:fill="ffffff" w:val="clear"/>
        <w:spacing w:line="3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bando TNA/NOA è finalizzato alla promozione della scienza senza barriere e dell’innovazione scientifica facilitando l’accesso alle principali infrastrutture nazionali per i ricercatori in tutte le fasi della loro carriera (i.e., studenti di laurea, master e dottorato, ricercatrici e  professori). </w:t>
      </w:r>
      <w:r w:rsidDel="00000000" w:rsidR="00000000" w:rsidRPr="00000000">
        <w:rPr>
          <w:rFonts w:ascii="Times New Roman" w:cs="Times New Roman" w:eastAsia="Times New Roman" w:hAnsi="Times New Roman"/>
          <w:b w:val="1"/>
          <w:sz w:val="24"/>
          <w:szCs w:val="24"/>
          <w:rtl w:val="0"/>
        </w:rPr>
        <w:t xml:space="preserve">Il programma ILGE TNA/NOA consente l'accesso fisico e remoto alle strutture laboratoriali italiane a soggetti nazionali, europei ed extraeuropei fornendo il supporto logistico, tecnologico e scientifico e la formazione specifica necessaria per utilizzare i servizi forniti dalla struttura.</w:t>
      </w:r>
      <w:r w:rsidDel="00000000" w:rsidR="00000000" w:rsidRPr="00000000">
        <w:rPr>
          <w:rFonts w:ascii="Times New Roman" w:cs="Times New Roman" w:eastAsia="Times New Roman" w:hAnsi="Times New Roman"/>
          <w:sz w:val="24"/>
          <w:szCs w:val="24"/>
          <w:rtl w:val="0"/>
        </w:rPr>
        <w:t xml:space="preserve"> L’accesso ai laboratori è gratuito e il programma ILGE TNA/NOA copre i costi delle attività di accesso fisico (i.e., viaggio, alloggio e sostentamento) o remoto (i.e., spedizione di campioni). Le candidature possono essere presentate su questo portale al</w:t>
      </w:r>
      <w:hyperlink r:id="rId9">
        <w:r w:rsidDel="00000000" w:rsidR="00000000" w:rsidRPr="00000000">
          <w:rPr>
            <w:rFonts w:ascii="Times New Roman" w:cs="Times New Roman" w:eastAsia="Times New Roman" w:hAnsi="Times New Roman"/>
            <w:color w:val="1155cc"/>
            <w:sz w:val="24"/>
            <w:szCs w:val="24"/>
            <w:u w:val="single"/>
            <w:rtl w:val="0"/>
          </w:rPr>
          <w:t xml:space="preserve"> link</w:t>
        </w:r>
      </w:hyperlink>
      <w:r w:rsidDel="00000000" w:rsidR="00000000" w:rsidRPr="00000000">
        <w:rPr>
          <w:rFonts w:ascii="Times New Roman" w:cs="Times New Roman" w:eastAsia="Times New Roman" w:hAnsi="Times New Roman"/>
          <w:sz w:val="24"/>
          <w:szCs w:val="24"/>
          <w:rtl w:val="0"/>
        </w:rPr>
        <w:t xml:space="preserve">. Potete consultare le</w:t>
      </w:r>
      <w:hyperlink r:id="rId10">
        <w:r w:rsidDel="00000000" w:rsidR="00000000" w:rsidRPr="00000000">
          <w:rPr>
            <w:rFonts w:ascii="Times New Roman" w:cs="Times New Roman" w:eastAsia="Times New Roman" w:hAnsi="Times New Roman"/>
            <w:color w:val="1155cc"/>
            <w:sz w:val="24"/>
            <w:szCs w:val="24"/>
            <w:u w:val="single"/>
            <w:rtl w:val="0"/>
          </w:rPr>
          <w:t xml:space="preserve"> linee guida ILGE TNA/NOA</w:t>
        </w:r>
      </w:hyperlink>
      <w:r w:rsidDel="00000000" w:rsidR="00000000" w:rsidRPr="00000000">
        <w:rPr>
          <w:rFonts w:ascii="Times New Roman" w:cs="Times New Roman" w:eastAsia="Times New Roman" w:hAnsi="Times New Roman"/>
          <w:sz w:val="24"/>
          <w:szCs w:val="24"/>
          <w:rtl w:val="0"/>
        </w:rPr>
        <w:t xml:space="preserve"> e le </w:t>
      </w:r>
      <w:hyperlink r:id="rId11">
        <w:r w:rsidDel="00000000" w:rsidR="00000000" w:rsidRPr="00000000">
          <w:rPr>
            <w:rFonts w:ascii="Times New Roman" w:cs="Times New Roman" w:eastAsia="Times New Roman" w:hAnsi="Times New Roman"/>
            <w:color w:val="1155cc"/>
            <w:sz w:val="24"/>
            <w:szCs w:val="24"/>
            <w:u w:val="single"/>
            <w:rtl w:val="0"/>
          </w:rPr>
          <w:t xml:space="preserve">FAQ</w:t>
        </w:r>
      </w:hyperlink>
      <w:r w:rsidDel="00000000" w:rsidR="00000000" w:rsidRPr="00000000">
        <w:rPr>
          <w:rFonts w:ascii="Times New Roman" w:cs="Times New Roman" w:eastAsia="Times New Roman" w:hAnsi="Times New Roman"/>
          <w:sz w:val="24"/>
          <w:szCs w:val="24"/>
          <w:rtl w:val="0"/>
        </w:rPr>
        <w:t xml:space="preserve"> per informazioni dettagliate sulle procedure di candidatura e sui criteri di ammissibilità.</w:t>
      </w:r>
    </w:p>
    <w:p w:rsidR="00000000" w:rsidDel="00000000" w:rsidP="00000000" w:rsidRDefault="00000000" w:rsidRPr="00000000" w14:paraId="0000000C">
      <w:pPr>
        <w:shd w:fill="ffffff" w:val="clear"/>
        <w:spacing w:line="3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hd w:fill="ffffff" w:val="clear"/>
        <w:spacing w:line="3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shd w:fill="ffffff" w:val="clear"/>
        <w:spacing w:line="331.2"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Calendario programma ILGE TNA/NOA</w:t>
      </w:r>
    </w:p>
    <w:p w:rsidR="00000000" w:rsidDel="00000000" w:rsidP="00000000" w:rsidRDefault="00000000" w:rsidRPr="00000000" w14:paraId="0000000F">
      <w:pPr>
        <w:shd w:fill="ffffff" w:val="clear"/>
        <w:spacing w:line="3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Periodo di sottomissione delle domanda: dall’1 Dicembre 2024 al 31 gennaio 2025 </w:t>
      </w:r>
    </w:p>
    <w:p w:rsidR="00000000" w:rsidDel="00000000" w:rsidP="00000000" w:rsidRDefault="00000000" w:rsidRPr="00000000" w14:paraId="00000010">
      <w:pPr>
        <w:shd w:fill="ffffff" w:val="clear"/>
        <w:spacing w:line="3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Periodo di accesso ai laboratori del network ILGE: dall’1 Aprile 2025 al 31 Agosto 2025</w:t>
      </w:r>
    </w:p>
    <w:p w:rsidR="00000000" w:rsidDel="00000000" w:rsidP="00000000" w:rsidRDefault="00000000" w:rsidRPr="00000000" w14:paraId="00000011">
      <w:pPr>
        <w:shd w:fill="ffffff" w:val="clear"/>
        <w:spacing w:line="3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shd w:fill="ffffff" w:val="clear"/>
        <w:spacing w:line="331.2"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Contatti</w:t>
      </w:r>
    </w:p>
    <w:p w:rsidR="00000000" w:rsidDel="00000000" w:rsidP="00000000" w:rsidRDefault="00000000" w:rsidRPr="00000000" w14:paraId="00000013">
      <w:pPr>
        <w:shd w:fill="ffffff" w:val="clear"/>
        <w:spacing w:line="3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qualsiasi richiesta o assistenza, contattare </w:t>
      </w:r>
      <w:hyperlink r:id="rId12">
        <w:r w:rsidDel="00000000" w:rsidR="00000000" w:rsidRPr="00000000">
          <w:rPr>
            <w:rFonts w:ascii="Times New Roman" w:cs="Times New Roman" w:eastAsia="Times New Roman" w:hAnsi="Times New Roman"/>
            <w:color w:val="1155cc"/>
            <w:sz w:val="24"/>
            <w:szCs w:val="24"/>
            <w:u w:val="single"/>
            <w:rtl w:val="0"/>
          </w:rPr>
          <w:t xml:space="preserve">management.ilge@ingv.it</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4">
      <w:pPr>
        <w:shd w:fill="ffffff" w:val="clear"/>
        <w:spacing w:line="3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hd w:fill="ffffff" w:val="clear"/>
        <w:spacing w:line="3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hd w:fill="ffffff" w:val="clear"/>
        <w:spacing w:line="331.2"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La mini serie SHARING MINDS racconta tre esperimenti condotti grazie alla precedente call in tre dei laboratori multidisciplinari della rete ILGE rispettivamente il Laboratorio di Sedimentologia dell’Osservatorio Etneo (INGV Catania), il Laboratorio Effetti di Sito (ESITO-INGV Roma) e il Laboratorio di Tettonica Sperimentale (Università RomaTre).</w:t>
      </w:r>
    </w:p>
    <w:p w:rsidR="00000000" w:rsidDel="00000000" w:rsidP="00000000" w:rsidRDefault="00000000" w:rsidRPr="00000000" w14:paraId="00000017">
      <w:pPr>
        <w:shd w:fill="ffffff" w:val="clear"/>
        <w:spacing w:line="331.2"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8">
      <w:pPr>
        <w:shd w:fill="ffffff" w:val="clear"/>
        <w:spacing w:line="331.2" w:lineRule="auto"/>
        <w:jc w:val="both"/>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color w:val="0000ee"/>
            <w:sz w:val="24"/>
            <w:szCs w:val="24"/>
            <w:u w:val="single"/>
            <w:rtl w:val="0"/>
          </w:rPr>
          <w:t xml:space="preserve">SHARING MINDS_Ep1 - Sampling rocks (ita/eng)</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shd w:fill="ffffff" w:val="clear"/>
        <w:spacing w:line="331.2" w:lineRule="auto"/>
        <w:jc w:val="both"/>
        <w:rPr>
          <w:rFonts w:ascii="Times New Roman" w:cs="Times New Roman" w:eastAsia="Times New Roman" w:hAnsi="Times New Roman"/>
          <w:sz w:val="24"/>
          <w:szCs w:val="24"/>
        </w:rPr>
      </w:pPr>
      <w:hyperlink r:id="rId14">
        <w:r w:rsidDel="00000000" w:rsidR="00000000" w:rsidRPr="00000000">
          <w:rPr>
            <w:rFonts w:ascii="Times New Roman" w:cs="Times New Roman" w:eastAsia="Times New Roman" w:hAnsi="Times New Roman"/>
            <w:color w:val="0000ee"/>
            <w:sz w:val="24"/>
            <w:szCs w:val="24"/>
            <w:u w:val="single"/>
            <w:rtl w:val="0"/>
          </w:rPr>
          <w:t xml:space="preserve">SHARING MINDS_Ep2- Liquèfaction</w:t>
        </w:r>
      </w:hyperlink>
      <w:r w:rsidDel="00000000" w:rsidR="00000000" w:rsidRPr="00000000">
        <w:rPr>
          <w:rFonts w:ascii="Times New Roman" w:cs="Times New Roman" w:eastAsia="Times New Roman" w:hAnsi="Times New Roman"/>
          <w:sz w:val="24"/>
          <w:szCs w:val="24"/>
          <w:rtl w:val="0"/>
        </w:rPr>
        <w:t xml:space="preserve">(ita/eng)</w:t>
      </w:r>
    </w:p>
    <w:p w:rsidR="00000000" w:rsidDel="00000000" w:rsidP="00000000" w:rsidRDefault="00000000" w:rsidRPr="00000000" w14:paraId="0000001A">
      <w:pPr>
        <w:shd w:fill="ffffff" w:val="clear"/>
        <w:spacing w:line="331.2" w:lineRule="auto"/>
        <w:jc w:val="both"/>
        <w:rPr>
          <w:rFonts w:ascii="Times New Roman" w:cs="Times New Roman" w:eastAsia="Times New Roman" w:hAnsi="Times New Roman"/>
          <w:sz w:val="24"/>
          <w:szCs w:val="24"/>
        </w:rPr>
      </w:pPr>
      <w:hyperlink r:id="rId15">
        <w:r w:rsidDel="00000000" w:rsidR="00000000" w:rsidRPr="00000000">
          <w:rPr>
            <w:rFonts w:ascii="Times New Roman" w:cs="Times New Roman" w:eastAsia="Times New Roman" w:hAnsi="Times New Roman"/>
            <w:color w:val="0000ee"/>
            <w:sz w:val="24"/>
            <w:szCs w:val="24"/>
            <w:u w:val="single"/>
            <w:rtl w:val="0"/>
          </w:rPr>
          <w:t xml:space="preserve">SHARING MINDS_Ep3- Experimental Tectonics (ita/eng)</w:t>
        </w:r>
      </w:hyperlink>
      <w:r w:rsidDel="00000000" w:rsidR="00000000" w:rsidRPr="00000000">
        <w:rPr>
          <w:rtl w:val="0"/>
        </w:rPr>
      </w:r>
    </w:p>
    <w:p w:rsidR="00000000" w:rsidDel="00000000" w:rsidP="00000000" w:rsidRDefault="00000000" w:rsidRPr="00000000" w14:paraId="0000001B">
      <w:pPr>
        <w:shd w:fill="ffffff" w:val="clear"/>
        <w:spacing w:line="3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ilge.ct.ingv.it/accessCalls_faq.html" TargetMode="External"/><Relationship Id="rId10" Type="http://schemas.openxmlformats.org/officeDocument/2006/relationships/hyperlink" Target="https://ilge.ct.ingv.it/documents/ILGE_TNA_guidelines.pdf" TargetMode="External"/><Relationship Id="rId13" Type="http://schemas.openxmlformats.org/officeDocument/2006/relationships/hyperlink" Target="https://www.youtube.com/watch?v=9HWu2ZEGooE" TargetMode="External"/><Relationship Id="rId12" Type="http://schemas.openxmlformats.org/officeDocument/2006/relationships/hyperlink" Target="mailto:management.ilge@ingv.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lge.ct.ingv.it/" TargetMode="External"/><Relationship Id="rId15" Type="http://schemas.openxmlformats.org/officeDocument/2006/relationships/hyperlink" Target="https://youtu.be/UzOyuwO4QqA?feature=shared" TargetMode="External"/><Relationship Id="rId14" Type="http://schemas.openxmlformats.org/officeDocument/2006/relationships/hyperlink" Target="https://youtu.be/8JVJXJIVz1Q?feature=shared" TargetMode="External"/><Relationship Id="rId5" Type="http://schemas.openxmlformats.org/officeDocument/2006/relationships/styles" Target="styles.xml"/><Relationship Id="rId6" Type="http://schemas.openxmlformats.org/officeDocument/2006/relationships/hyperlink" Target="https://meet.ingv.it/progetto/wp-linee-di-ricerca/wp3-laboratori-integrati-per-le-geoscienze-e-lambiente-ilge" TargetMode="External"/><Relationship Id="rId7" Type="http://schemas.openxmlformats.org/officeDocument/2006/relationships/hyperlink" Target="https://meet.ingv.it/" TargetMode="External"/><Relationship Id="rId8" Type="http://schemas.openxmlformats.org/officeDocument/2006/relationships/hyperlink" Target="https://meet.ingv.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